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000000"/>
          <w:sz w:val="20"/>
          <w:szCs w:val="20"/>
        </w:rPr>
      </w:pPr>
      <w:r>
        <w:rPr>
          <w:color w:val="2E2014"/>
          <w:sz w:val="20"/>
          <w:szCs w:val="20"/>
        </w:rPr>
        <w:t>INFORMACJA DODATKOWA</w:t>
      </w:r>
      <w:r w:rsidR="00236EBA">
        <w:rPr>
          <w:color w:val="2E2014"/>
          <w:sz w:val="20"/>
          <w:szCs w:val="20"/>
        </w:rPr>
        <w:t xml:space="preserve"> - KOREKTA</w:t>
      </w:r>
    </w:p>
    <w:p w:rsidR="00062D81" w:rsidRDefault="00062D81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10632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0064"/>
      </w:tblGrid>
      <w:tr w:rsidR="00062D81" w:rsidRPr="00A31A0D" w:rsidTr="0040622D">
        <w:trPr>
          <w:trHeight w:hRule="exact" w:val="397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 w:rsidRPr="00A31A0D"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 w:rsidRPr="00A31A0D"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062D81" w:rsidRPr="00A31A0D" w:rsidTr="0040622D">
        <w:trPr>
          <w:trHeight w:hRule="exact" w:val="365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206174" w:rsidRDefault="002061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Poradnia Psychologiczno-Pedagogiczna w Głownie</w:t>
            </w:r>
          </w:p>
          <w:p w:rsidR="005E2825" w:rsidRPr="00870460" w:rsidRDefault="005E282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5E2825" w:rsidRDefault="00062D8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5E2825" w:rsidRDefault="005E2825" w:rsidP="0020617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5A2A53" w:rsidRPr="005A2A53">
              <w:rPr>
                <w:color w:val="000000" w:themeColor="text1"/>
                <w:sz w:val="20"/>
                <w:szCs w:val="20"/>
              </w:rPr>
              <w:t>Województwo łódzkie, powiat zgierski,</w:t>
            </w:r>
            <w:r w:rsidR="00206174">
              <w:rPr>
                <w:color w:val="FF0000"/>
                <w:sz w:val="20"/>
                <w:szCs w:val="20"/>
              </w:rPr>
              <w:t xml:space="preserve"> </w:t>
            </w:r>
            <w:r w:rsidR="00206174">
              <w:rPr>
                <w:color w:val="000000" w:themeColor="text1"/>
                <w:sz w:val="20"/>
                <w:szCs w:val="20"/>
              </w:rPr>
              <w:t>Gmina</w:t>
            </w:r>
            <w:r w:rsidR="007B5263">
              <w:rPr>
                <w:color w:val="000000" w:themeColor="text1"/>
                <w:sz w:val="20"/>
                <w:szCs w:val="20"/>
              </w:rPr>
              <w:t xml:space="preserve"> - Miasto</w:t>
            </w:r>
            <w:r w:rsidR="0020617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C3378">
              <w:rPr>
                <w:color w:val="000000" w:themeColor="text1"/>
                <w:sz w:val="20"/>
                <w:szCs w:val="20"/>
              </w:rPr>
              <w:t>Gł</w:t>
            </w:r>
            <w:r w:rsidR="00206174">
              <w:rPr>
                <w:color w:val="000000" w:themeColor="text1"/>
                <w:sz w:val="20"/>
                <w:szCs w:val="20"/>
              </w:rPr>
              <w:t>owno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adres jednostki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1A5110" w:rsidRDefault="0020617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Kościuszki 10, 95-015 Głowno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062D81" w:rsidRPr="00A31A0D" w:rsidTr="0040622D">
        <w:trPr>
          <w:trHeight w:hRule="exact" w:val="14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7B5263">
            <w:pPr>
              <w:widowControl w:val="0"/>
              <w:autoSpaceDE w:val="0"/>
              <w:autoSpaceDN w:val="0"/>
              <w:adjustRightInd w:val="0"/>
            </w:pPr>
            <w:r>
              <w:t>o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B2D51" w:rsidRPr="002B2D51" w:rsidRDefault="0025232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Poradnia Psychologiczno-Pedagogiczna jest placówką organizacyjną powiatu Zgierskiego, która udziela pomocy uczniom, rodzicom, nauczycielom przedszkoli, szkół</w:t>
            </w:r>
            <w:r w:rsidR="00C4589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i placówek mających siedzibę na terenie Miasta i Gminy Głowno oraz Miasta-Gminy Stryków. Poradnia prowadzi: diagnozę, terapię pedagogiczną, </w:t>
            </w:r>
            <w:r w:rsidR="00C4589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logopedyczną,</w:t>
            </w:r>
            <w:r w:rsidR="00C4589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psychoterapię, </w:t>
            </w:r>
            <w:r w:rsidR="00C4589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terapię rodzinną, mediacje,</w:t>
            </w:r>
            <w:r w:rsidR="00C4589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pośred</w:t>
            </w:r>
            <w:r w:rsidR="00C45899">
              <w:rPr>
                <w:color w:val="000000" w:themeColor="text1"/>
                <w:sz w:val="20"/>
                <w:szCs w:val="20"/>
              </w:rPr>
              <w:t xml:space="preserve">nictwo zawodowe, psychoedukację, </w:t>
            </w:r>
            <w:r>
              <w:rPr>
                <w:color w:val="000000" w:themeColor="text1"/>
                <w:sz w:val="20"/>
                <w:szCs w:val="20"/>
              </w:rPr>
              <w:t xml:space="preserve"> coaching, </w:t>
            </w:r>
            <w:r w:rsidR="00C4589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kompleksowe wspoma</w:t>
            </w:r>
            <w:r w:rsidR="00F77B74">
              <w:rPr>
                <w:color w:val="000000" w:themeColor="text1"/>
                <w:sz w:val="20"/>
                <w:szCs w:val="20"/>
              </w:rPr>
              <w:t>ganie szkół</w:t>
            </w:r>
            <w:r w:rsidR="00C458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7B74">
              <w:rPr>
                <w:color w:val="000000" w:themeColor="text1"/>
                <w:sz w:val="20"/>
                <w:szCs w:val="20"/>
              </w:rPr>
              <w:t xml:space="preserve"> i placówek.             Poradnia orzeka o potrzebie kształcenia specjalnego,</w:t>
            </w:r>
            <w:r w:rsidR="00C458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7B74">
              <w:rPr>
                <w:color w:val="000000" w:themeColor="text1"/>
                <w:sz w:val="20"/>
                <w:szCs w:val="20"/>
              </w:rPr>
              <w:t xml:space="preserve"> indywidualnego nauczania, </w:t>
            </w:r>
            <w:r w:rsidR="00C458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7B74">
              <w:rPr>
                <w:color w:val="000000" w:themeColor="text1"/>
                <w:sz w:val="20"/>
                <w:szCs w:val="20"/>
              </w:rPr>
              <w:t>wczesnego wspomagania rozwoju.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D534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Sprawozdanie obejmuje okres od 01.01.2018 r. do 31.12.2018 r.</w:t>
            </w:r>
          </w:p>
        </w:tc>
      </w:tr>
      <w:tr w:rsidR="00062D81" w:rsidRPr="00A31A0D" w:rsidTr="0040622D">
        <w:trPr>
          <w:trHeight w:hRule="exact" w:val="340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 w:rsidRPr="00A31A0D">
              <w:rPr>
                <w:color w:val="2E2014"/>
                <w:sz w:val="20"/>
                <w:szCs w:val="20"/>
              </w:rPr>
              <w:t>wskazanie,</w:t>
            </w:r>
            <w:r w:rsidRPr="00A31A0D"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że</w:t>
            </w:r>
            <w:r w:rsidRPr="00A31A0D"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sprawozdanie</w:t>
            </w:r>
            <w:r w:rsidRPr="00A31A0D"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finansowe</w:t>
            </w:r>
            <w:r w:rsidRPr="00A31A0D"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zawiera</w:t>
            </w:r>
            <w:r w:rsidRPr="00A31A0D"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dane</w:t>
            </w:r>
            <w:r w:rsidRPr="00A31A0D"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łączne</w:t>
            </w:r>
          </w:p>
        </w:tc>
      </w:tr>
      <w:tr w:rsidR="00062D81" w:rsidRPr="00A31A0D" w:rsidTr="0040622D">
        <w:trPr>
          <w:trHeight w:hRule="exact" w:val="365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9F2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Sprawozdanie nie obejmuje danych łącznych</w:t>
            </w:r>
          </w:p>
        </w:tc>
      </w:tr>
      <w:tr w:rsidR="00062D81" w:rsidRPr="00A31A0D" w:rsidTr="003960C2">
        <w:trPr>
          <w:trHeight w:hRule="exact" w:val="637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 w:rsidRPr="00A31A0D">
              <w:rPr>
                <w:color w:val="2E2014"/>
                <w:sz w:val="20"/>
                <w:szCs w:val="20"/>
              </w:rPr>
              <w:t>omówienie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przyjętych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zasad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(polityki)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rachunkowości,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tym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metod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wyceny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aktywów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i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pasywów</w:t>
            </w:r>
            <w:r w:rsidRPr="00A31A0D"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(także amortyzacji)</w:t>
            </w:r>
          </w:p>
        </w:tc>
      </w:tr>
      <w:tr w:rsidR="00062D81" w:rsidRPr="00A31A0D" w:rsidTr="00EF4BF1">
        <w:trPr>
          <w:trHeight w:hRule="exact" w:val="4686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F4BF1" w:rsidRDefault="00A2748C" w:rsidP="00EF4BF1">
            <w:pPr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F4BF1">
              <w:rPr>
                <w:color w:val="000000" w:themeColor="text1"/>
                <w:sz w:val="20"/>
                <w:szCs w:val="20"/>
              </w:rPr>
              <w:t>Aktywa i pasywa są wy</w:t>
            </w:r>
            <w:r w:rsidR="009C3378">
              <w:rPr>
                <w:color w:val="000000" w:themeColor="text1"/>
                <w:sz w:val="20"/>
                <w:szCs w:val="20"/>
              </w:rPr>
              <w:t>ceniane są przy uwzględnieniu na</w:t>
            </w:r>
            <w:r w:rsidRPr="00EF4BF1">
              <w:rPr>
                <w:color w:val="000000" w:themeColor="text1"/>
                <w:sz w:val="20"/>
                <w:szCs w:val="20"/>
              </w:rPr>
              <w:t>drzędnych zasad</w:t>
            </w:r>
            <w:r w:rsidR="009C337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4BF1">
              <w:rPr>
                <w:color w:val="000000" w:themeColor="text1"/>
                <w:sz w:val="20"/>
                <w:szCs w:val="20"/>
              </w:rPr>
              <w:t xml:space="preserve"> rachunk</w:t>
            </w:r>
            <w:r w:rsidR="009C3378">
              <w:rPr>
                <w:color w:val="000000" w:themeColor="text1"/>
                <w:sz w:val="20"/>
                <w:szCs w:val="20"/>
              </w:rPr>
              <w:t xml:space="preserve">owości, w sposób przewidziany w </w:t>
            </w:r>
            <w:r w:rsidRPr="00EF4BF1">
              <w:rPr>
                <w:color w:val="000000" w:themeColor="text1"/>
                <w:sz w:val="20"/>
                <w:szCs w:val="20"/>
              </w:rPr>
              <w:t xml:space="preserve">ustawie </w:t>
            </w:r>
            <w:r w:rsidR="00EF4BF1">
              <w:rPr>
                <w:color w:val="000000" w:themeColor="text1"/>
                <w:sz w:val="20"/>
                <w:szCs w:val="20"/>
              </w:rPr>
              <w:t xml:space="preserve">z dnia 29 września 1994 r. </w:t>
            </w:r>
            <w:r w:rsidRPr="00EF4BF1">
              <w:rPr>
                <w:color w:val="000000" w:themeColor="text1"/>
                <w:sz w:val="20"/>
                <w:szCs w:val="20"/>
              </w:rPr>
              <w:t>o rachunkowości (Dz. U. z 2019, poz. 35</w:t>
            </w:r>
            <w:r w:rsidR="009F7BC1">
              <w:rPr>
                <w:color w:val="000000" w:themeColor="text1"/>
                <w:sz w:val="20"/>
                <w:szCs w:val="20"/>
              </w:rPr>
              <w:t>1</w:t>
            </w:r>
            <w:r w:rsidR="00EF4BF1" w:rsidRPr="00EF4BF1">
              <w:rPr>
                <w:color w:val="000000" w:themeColor="text1"/>
                <w:sz w:val="20"/>
                <w:szCs w:val="20"/>
              </w:rPr>
              <w:t xml:space="preserve">) oraz Rozporządzeniem Ministra Finansów i Rozwoju  </w:t>
            </w:r>
            <w:r w:rsidR="00EF4BF1">
              <w:rPr>
                <w:color w:val="000000" w:themeColor="text1"/>
                <w:sz w:val="20"/>
                <w:szCs w:val="20"/>
              </w:rPr>
              <w:t xml:space="preserve">z dnia 13 września 2017 r. </w:t>
            </w:r>
            <w:r w:rsidR="00EF4BF1" w:rsidRPr="00EF4BF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w sprawie </w:t>
            </w:r>
            <w:r w:rsidR="00081F82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rachunkowości oraz </w:t>
            </w:r>
            <w:r w:rsidR="00EF4BF1" w:rsidRPr="00EF4BF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planów kont dla budżetu państwa, budżetów jednostek samorządu terytorialnego, </w:t>
            </w:r>
            <w:r w:rsidR="009C3378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F4BF1" w:rsidRPr="00EF4BF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jednostek budżetowych, </w:t>
            </w:r>
            <w:r w:rsidR="00081F82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F4BF1" w:rsidRPr="00EF4BF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samorządowych zakładów budżetowych, </w:t>
            </w:r>
            <w:r w:rsidR="009C3378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F4BF1" w:rsidRPr="00EF4BF1">
              <w:rPr>
                <w:bCs/>
                <w:color w:val="333333"/>
                <w:sz w:val="20"/>
                <w:szCs w:val="20"/>
                <w:shd w:val="clear" w:color="auto" w:fill="FFFFFF"/>
              </w:rPr>
              <w:t>państwowych funduszy celowych oraz państwowych jednoste</w:t>
            </w:r>
            <w:r w:rsidR="00081F82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k budżetowych mających siedzibę </w:t>
            </w:r>
            <w:r w:rsidR="00EF4BF1" w:rsidRPr="00EF4BF1">
              <w:rPr>
                <w:bCs/>
                <w:color w:val="333333"/>
                <w:sz w:val="20"/>
                <w:szCs w:val="20"/>
                <w:shd w:val="clear" w:color="auto" w:fill="FFFFFF"/>
              </w:rPr>
              <w:t>poza granicami Rzeczypospolitej Polskiej</w:t>
            </w:r>
            <w:r w:rsidR="00EF4BF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12410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             (Dz. U. </w:t>
            </w:r>
            <w:r w:rsidR="00081F82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F4BF1">
              <w:rPr>
                <w:bCs/>
                <w:color w:val="333333"/>
                <w:sz w:val="20"/>
                <w:szCs w:val="20"/>
                <w:shd w:val="clear" w:color="auto" w:fill="FFFFFF"/>
              </w:rPr>
              <w:t>z 2017, poz. 1911 ze zm.).</w:t>
            </w:r>
          </w:p>
          <w:p w:rsidR="009C3378" w:rsidRDefault="009C3378" w:rsidP="00EF4BF1">
            <w:pPr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Środki trwałe oraz wartości niematerialne i prawne wycenia się według cen nabycia lub cen zakupu, a otrzymane na podstawie darowizny w wartości rynkowej na dzień nabycia. W przypadku otrzymania w sposób nieodpłatny – w wysokości określonej w decyzji o przekazaniu. Składniki majątku zaliczane do pozostałych środków trwałych lub </w:t>
            </w:r>
            <w:proofErr w:type="spellStart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WNiP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o okresie użytkowania powyżej jednego roku jednostka wprowadza do ewidencji pozostałych środków trwałych i umarza w 100% </w:t>
            </w:r>
            <w:r w:rsidR="00081F82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w momencie zakupu. Składniki maj</w:t>
            </w:r>
            <w:r w:rsidR="00081F82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ątku o wartości powyżej 10.000,00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zł. jednostka wprowadza d</w:t>
            </w:r>
            <w:r w:rsidR="00081F82">
              <w:rPr>
                <w:bCs/>
                <w:color w:val="333333"/>
                <w:sz w:val="20"/>
                <w:szCs w:val="20"/>
                <w:shd w:val="clear" w:color="auto" w:fill="FFFFFF"/>
              </w:rPr>
              <w:t>o ewidencji środków trwałych lub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WNiP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i dokonuje odpisów amortyzacyjnych metodą liniową, począwszy od miesiąca następującego po miesiącu oddania środka do użytkowania według stawek określonych ustawą o podatku dochodowym od osób prawnych</w:t>
            </w:r>
            <w:r w:rsidR="006E1354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– jednorazowo za okres roczny na koniec roku obrotowego. Na dzień bilansowy środki trwałe wycenia się w wartości netto tj. z uwzględnieniem odpisów umorzeniowych ustalonych na dzień bilansowy. </w:t>
            </w:r>
          </w:p>
          <w:p w:rsidR="006E1354" w:rsidRDefault="006E1354" w:rsidP="00EF4BF1">
            <w:pPr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Należności i zobowiązania jednostka wycenia w kwocie wymaganej zapłaty.</w:t>
            </w:r>
          </w:p>
          <w:p w:rsidR="007F7E98" w:rsidRPr="006E1354" w:rsidRDefault="006E1354" w:rsidP="006E1354">
            <w:pPr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Wynik finansowy jednostki ustalany jest zgodnie z wariantem porównawczym </w:t>
            </w:r>
            <w:r w:rsidR="00B85A7B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rachunku zysków i strat.</w:t>
            </w:r>
          </w:p>
          <w:p w:rsidR="007F7E98" w:rsidRDefault="00136937" w:rsidP="00D637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Sprawozdanie zostało sporządzone przy założeniu zachowania zasady kontynuacji działania.</w:t>
            </w:r>
          </w:p>
          <w:p w:rsidR="007F7E98" w:rsidRPr="007F7E98" w:rsidRDefault="007F7E98" w:rsidP="00D637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5.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:rsidRPr="00A31A0D" w:rsidTr="006A14E0">
        <w:trPr>
          <w:trHeight w:hRule="exact" w:val="1215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4D2953" w:rsidRPr="00F54D1C" w:rsidRDefault="00CC5B3B" w:rsidP="00ED652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83578">
              <w:rPr>
                <w:color w:val="000000" w:themeColor="text1"/>
                <w:sz w:val="20"/>
                <w:szCs w:val="20"/>
              </w:rPr>
              <w:t xml:space="preserve">Nie dotyczy </w:t>
            </w:r>
            <w:r w:rsidR="00ED6525">
              <w:rPr>
                <w:color w:val="FF0000"/>
                <w:sz w:val="20"/>
                <w:szCs w:val="20"/>
              </w:rPr>
              <w:t xml:space="preserve"> </w:t>
            </w:r>
            <w:r w:rsidR="004D2953" w:rsidRPr="004D295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62D81" w:rsidRPr="00A31A0D" w:rsidTr="0040622D">
        <w:trPr>
          <w:trHeight w:hRule="exact" w:val="397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 w:rsidRPr="00A31A0D">
              <w:rPr>
                <w:b/>
                <w:bCs/>
                <w:color w:val="2E2014"/>
                <w:sz w:val="20"/>
                <w:szCs w:val="20"/>
              </w:rPr>
              <w:lastRenderedPageBreak/>
              <w:t>II.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 w:rsidRPr="00A31A0D"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:rsidRPr="00A31A0D" w:rsidTr="0040622D">
        <w:trPr>
          <w:trHeight w:hRule="exact" w:val="106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 w:rsidRPr="00A31A0D">
              <w:rPr>
                <w:color w:val="2E2014"/>
                <w:sz w:val="20"/>
                <w:szCs w:val="20"/>
              </w:rPr>
              <w:t>szczegółowy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zakres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zmian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wartości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grup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rodzajowych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środków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trwałych,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wartości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A31A0D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nabycia,</w:t>
            </w:r>
            <w:r w:rsidRPr="00A31A0D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rozchodu,</w:t>
            </w:r>
            <w:r w:rsidRPr="00A31A0D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przemieszczenia</w:t>
            </w:r>
            <w:r w:rsidRPr="00A31A0D"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wewnętrznego</w:t>
            </w:r>
            <w:r w:rsidRPr="00A31A0D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oraz</w:t>
            </w:r>
            <w:r w:rsidRPr="00A31A0D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stan</w:t>
            </w:r>
            <w:r w:rsidRPr="00A31A0D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końcowy,</w:t>
            </w:r>
            <w:r w:rsidRPr="00A31A0D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a</w:t>
            </w:r>
            <w:r w:rsidRPr="00A31A0D"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dla</w:t>
            </w:r>
            <w:r w:rsidRPr="00A31A0D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majątku</w:t>
            </w:r>
            <w:r w:rsidRPr="00A31A0D"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amortyzowanego</w:t>
            </w:r>
          </w:p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 w:rsidRPr="00A31A0D"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062D81" w:rsidRPr="00A31A0D" w:rsidTr="0040622D">
        <w:trPr>
          <w:trHeight w:hRule="exact" w:val="14044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D08E4" w:rsidRDefault="001D08E4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</w:p>
          <w:tbl>
            <w:tblPr>
              <w:tblW w:w="9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0"/>
              <w:gridCol w:w="1360"/>
              <w:gridCol w:w="940"/>
              <w:gridCol w:w="1181"/>
              <w:gridCol w:w="779"/>
              <w:gridCol w:w="940"/>
              <w:gridCol w:w="1116"/>
              <w:gridCol w:w="1084"/>
            </w:tblGrid>
            <w:tr w:rsidR="00C3625B" w:rsidTr="004F0B69">
              <w:trPr>
                <w:trHeight w:val="285"/>
              </w:trPr>
              <w:tc>
                <w:tcPr>
                  <w:tcW w:w="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Grupy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Wyszczególnienie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Wartość początkowa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Zwiększenia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Zmniejszenia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Wartość końcowa</w:t>
                  </w:r>
                </w:p>
              </w:tc>
            </w:tr>
            <w:tr w:rsidR="00C3625B" w:rsidTr="004F0B69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zakup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przemieszczenie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zbycie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likwidacje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przemieszczenie</w:t>
                  </w:r>
                </w:p>
              </w:tc>
              <w:tc>
                <w:tcPr>
                  <w:tcW w:w="10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3625B" w:rsidTr="004F0B69">
              <w:trPr>
                <w:trHeight w:val="255"/>
              </w:trPr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brutto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brutto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brutto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brutto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brutto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brutto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brutto</w:t>
                  </w:r>
                </w:p>
              </w:tc>
            </w:tr>
            <w:tr w:rsidR="00C3625B" w:rsidTr="004F0B69">
              <w:trPr>
                <w:trHeight w:val="255"/>
              </w:trPr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umorzenie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umorzenie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umorzenie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umorzenie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umorzenie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umorzenie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umorzenie</w:t>
                  </w:r>
                </w:p>
              </w:tc>
            </w:tr>
            <w:tr w:rsidR="00C3625B" w:rsidTr="004F0B69">
              <w:trPr>
                <w:trHeight w:val="270"/>
              </w:trPr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netto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netto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netto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netto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netto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netto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wartość netto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Grunty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Budynki i lokale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Obiekty inżynierii lądowej i wodnej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Kotły i maszyny energetyczne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Maszyny, urządzenia i aparaty ogólnego zastosowania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Maszyny, urządzenia i aparaty specjalistyczne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Urządzenia techniczne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726FB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3 875,94</w:t>
                  </w:r>
                  <w:r w:rsidR="00C3625B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726FB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3 875,94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726FBB" w:rsidP="00726FBB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</w:t>
                  </w:r>
                  <w:r w:rsidR="00C3625B">
                    <w:rPr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3 875,94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726FB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3 875,94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726FB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Środki transportu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Narzędzia przyrządy, ruchomości i wyposażenie, gdzie indziej niesklasyfikowane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Inwentarz żywy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23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Ogółem środki trwałe (konto 011)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726FB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3 875,94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726FB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3 875,94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2320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726FB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3 875,94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726FB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3 875,94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2320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23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Wartości niematerialne i prawne (konto 020) - umarzane na koncie 071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DE7EDF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3 791,76</w:t>
                  </w:r>
                  <w:r w:rsidR="00C3625B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Pr="002A77DF" w:rsidRDefault="00DE7EDF" w:rsidP="00C3625B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2A77DF">
                    <w:rPr>
                      <w:b/>
                      <w:color w:val="000000"/>
                      <w:sz w:val="14"/>
                      <w:szCs w:val="14"/>
                    </w:rPr>
                    <w:t>3 791,76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2320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DE7EDF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3 791,76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Pr="002A77DF" w:rsidRDefault="00DE7EDF" w:rsidP="00C3625B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2A77DF">
                    <w:rPr>
                      <w:b/>
                      <w:color w:val="000000"/>
                      <w:sz w:val="14"/>
                      <w:szCs w:val="14"/>
                    </w:rPr>
                    <w:t>3 791,76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2320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625B" w:rsidTr="004F0B69">
              <w:trPr>
                <w:trHeight w:val="270"/>
              </w:trPr>
              <w:tc>
                <w:tcPr>
                  <w:tcW w:w="23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Wyszczególnienie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Wartość początkowa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Zwiększenia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Zmniejszenia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Wartość końcowa</w:t>
                  </w:r>
                </w:p>
              </w:tc>
            </w:tr>
            <w:tr w:rsidR="00C3625B" w:rsidTr="004F0B69">
              <w:trPr>
                <w:trHeight w:val="300"/>
              </w:trPr>
              <w:tc>
                <w:tcPr>
                  <w:tcW w:w="23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zakup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przemieszczenie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zbycie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likwidacje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przemieszczenie</w:t>
                  </w:r>
                </w:p>
              </w:tc>
              <w:tc>
                <w:tcPr>
                  <w:tcW w:w="10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3625B" w:rsidRDefault="00C3625B" w:rsidP="00C3625B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3625B" w:rsidTr="004F0B69">
              <w:trPr>
                <w:trHeight w:val="390"/>
              </w:trPr>
              <w:tc>
                <w:tcPr>
                  <w:tcW w:w="23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Pozostałe środki trwałe (konto 013)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  <w:r w:rsidR="00414B5A">
                    <w:rPr>
                      <w:b/>
                      <w:bCs/>
                      <w:color w:val="000000"/>
                      <w:sz w:val="14"/>
                      <w:szCs w:val="14"/>
                    </w:rPr>
                    <w:t>119 163,95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414B5A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1 159,94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414B5A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120 323,89</w:t>
                  </w:r>
                </w:p>
              </w:tc>
            </w:tr>
            <w:tr w:rsidR="00C3625B" w:rsidTr="004F0B69">
              <w:trPr>
                <w:trHeight w:val="240"/>
              </w:trPr>
              <w:tc>
                <w:tcPr>
                  <w:tcW w:w="23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Zbiory biblioteczne (konto 014)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414B5A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1 356,87</w:t>
                  </w:r>
                  <w:r w:rsidR="00C3625B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414B5A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1 356,87</w:t>
                  </w:r>
                </w:p>
              </w:tc>
            </w:tr>
            <w:tr w:rsidR="00C3625B" w:rsidTr="004F0B69">
              <w:trPr>
                <w:trHeight w:val="945"/>
              </w:trPr>
              <w:tc>
                <w:tcPr>
                  <w:tcW w:w="23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Wartości niematerialne i prawne (konto 020) - umarzane na koncie 072 - jednorazowo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9452C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3 622,37</w:t>
                  </w:r>
                  <w:r w:rsidR="00C3625B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C3625B" w:rsidP="00C3625B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25B" w:rsidRDefault="009452CB" w:rsidP="00C362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3 622,37</w:t>
                  </w:r>
                </w:p>
              </w:tc>
            </w:tr>
          </w:tbl>
          <w:p w:rsidR="004E08AB" w:rsidRPr="002A5D1A" w:rsidRDefault="004E08AB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aktualną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wartość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rynkową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środków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trwałych,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tym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dóbr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kultury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–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ile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jednostka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dysponuje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takimi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informacjami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995381" w:rsidRDefault="00995381" w:rsidP="00C354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578">
              <w:rPr>
                <w:color w:val="000000" w:themeColor="text1"/>
                <w:sz w:val="20"/>
                <w:szCs w:val="20"/>
              </w:rPr>
              <w:t>Jednostka nie dysponuje takimi informacjami</w:t>
            </w:r>
            <w:r w:rsidR="00683578">
              <w:rPr>
                <w:color w:val="FF0000"/>
                <w:sz w:val="20"/>
                <w:szCs w:val="20"/>
              </w:rPr>
              <w:t xml:space="preserve"> </w:t>
            </w:r>
            <w:r w:rsidR="00C35489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62D81" w:rsidRPr="00A31A0D" w:rsidTr="0040622D">
        <w:trPr>
          <w:trHeight w:hRule="exact" w:val="58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1.3.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 w:rsidRPr="00A31A0D">
              <w:rPr>
                <w:color w:val="2E2014"/>
                <w:sz w:val="20"/>
                <w:szCs w:val="20"/>
              </w:rPr>
              <w:t>kwotę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dokonanych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trakcie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roku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obrotowego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odpisów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aktualizujących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wartość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aktywów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trwałych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odrębnie</w:t>
            </w:r>
            <w:r w:rsidRPr="00A31A0D"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683578" w:rsidRDefault="0068357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83578">
              <w:rPr>
                <w:color w:val="000000" w:themeColor="text1"/>
                <w:sz w:val="20"/>
                <w:szCs w:val="20"/>
              </w:rPr>
              <w:t xml:space="preserve">Nie dotyczy </w:t>
            </w:r>
            <w:r w:rsidR="00C35489">
              <w:rPr>
                <w:color w:val="FF0000"/>
                <w:sz w:val="20"/>
                <w:szCs w:val="20"/>
              </w:rPr>
              <w:t xml:space="preserve"> </w:t>
            </w:r>
          </w:p>
          <w:p w:rsidR="007D3473" w:rsidRPr="00A31A0D" w:rsidRDefault="007D3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BD2900" w:rsidP="00C354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 w:rsidR="00C41DCE">
              <w:rPr>
                <w:sz w:val="20"/>
                <w:szCs w:val="20"/>
              </w:rPr>
              <w:t xml:space="preserve"> </w:t>
            </w:r>
            <w:r w:rsidR="00C35489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62D81" w:rsidRPr="00A31A0D" w:rsidTr="0040622D">
        <w:trPr>
          <w:trHeight w:hRule="exact" w:val="58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1.5.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 w:rsidRPr="00A31A0D">
              <w:rPr>
                <w:color w:val="2E2014"/>
                <w:sz w:val="20"/>
                <w:szCs w:val="20"/>
              </w:rPr>
              <w:t>wartość</w:t>
            </w:r>
            <w:r w:rsidRPr="00A31A0D"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nieamortyzowanych</w:t>
            </w:r>
            <w:r w:rsidRPr="00A31A0D"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lub</w:t>
            </w:r>
            <w:r w:rsidRPr="00A31A0D"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nieumarzanych</w:t>
            </w:r>
            <w:r w:rsidRPr="00A31A0D"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przez</w:t>
            </w:r>
            <w:r w:rsidRPr="00A31A0D"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jednostkę</w:t>
            </w:r>
            <w:r w:rsidRPr="00A31A0D"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środków</w:t>
            </w:r>
            <w:r w:rsidRPr="00A31A0D"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trwałych,</w:t>
            </w:r>
            <w:r w:rsidRPr="00A31A0D"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używanych</w:t>
            </w:r>
            <w:r w:rsidRPr="00A31A0D"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na</w:t>
            </w:r>
            <w:r w:rsidRPr="00A31A0D"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062D81" w:rsidRPr="00A31A0D" w:rsidTr="0040622D">
        <w:trPr>
          <w:trHeight w:hRule="exact" w:val="1950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467E6E" w:rsidRPr="00C35489" w:rsidRDefault="00C35489" w:rsidP="00C354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Umowa najmu części nieruchomości o powierzchni 220m²  na potrzeby funkcjonowania Poradni Psychologiczno-Pedagogicznej od Zespołu Szkół Licealno-Gimnazjalnych w Głownie – </w:t>
            </w:r>
            <w:r w:rsidR="00B155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288.721,94 zł.</w:t>
            </w:r>
          </w:p>
          <w:p w:rsidR="00467E6E" w:rsidRDefault="00467E6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467E6E" w:rsidRPr="00A31A0D" w:rsidRDefault="00467E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2D81" w:rsidRPr="00A31A0D" w:rsidTr="0040622D">
        <w:trPr>
          <w:trHeight w:hRule="exact" w:val="58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 w:rsidRPr="00A31A0D">
              <w:rPr>
                <w:color w:val="2E2014"/>
                <w:sz w:val="20"/>
                <w:szCs w:val="20"/>
              </w:rPr>
              <w:t>liczbę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oraz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wartość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posiadanych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papierów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wartościowych,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tym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akcji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i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udziałów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oraz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dłużnych</w:t>
            </w:r>
            <w:r w:rsidRPr="00A31A0D"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BD2900" w:rsidP="008C6F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 w:rsidR="00AE030B">
              <w:rPr>
                <w:sz w:val="20"/>
                <w:szCs w:val="20"/>
              </w:rPr>
              <w:t xml:space="preserve"> </w:t>
            </w:r>
            <w:r w:rsidR="008C6FE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62D81" w:rsidRPr="00A31A0D" w:rsidTr="0040622D">
        <w:trPr>
          <w:trHeight w:hRule="exact" w:val="82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1.7.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 w:rsidRPr="00A31A0D">
              <w:rPr>
                <w:color w:val="2E2014"/>
                <w:sz w:val="20"/>
                <w:szCs w:val="20"/>
              </w:rPr>
              <w:t>dane o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odpisach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aktualizujących wartość należności, ze wskazaniem stanu na początek roku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62D81" w:rsidRPr="00A31A0D" w:rsidTr="00767DDF">
        <w:trPr>
          <w:trHeight w:hRule="exact" w:val="1366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26434" w:rsidRPr="00626434" w:rsidRDefault="00626434" w:rsidP="008C6FE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>
              <w:rPr>
                <w:sz w:val="20"/>
                <w:szCs w:val="20"/>
              </w:rPr>
              <w:t xml:space="preserve"> </w:t>
            </w:r>
            <w:r w:rsidR="008C6FE6">
              <w:rPr>
                <w:color w:val="FF0000"/>
                <w:sz w:val="20"/>
                <w:szCs w:val="20"/>
              </w:rPr>
              <w:t xml:space="preserve"> </w:t>
            </w:r>
          </w:p>
          <w:p w:rsidR="00626434" w:rsidRPr="00A31A0D" w:rsidRDefault="006264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:rsidRPr="00A31A0D" w:rsidTr="0040622D">
        <w:trPr>
          <w:trHeight w:hRule="exact" w:val="58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 w:rsidRPr="00A31A0D">
              <w:rPr>
                <w:color w:val="2E2014"/>
                <w:sz w:val="20"/>
                <w:szCs w:val="20"/>
              </w:rPr>
              <w:t>dane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stanie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rezerw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według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celu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ich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utworzenia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na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początek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roku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obrotowego,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zwiększeniach,</w:t>
            </w:r>
            <w:r w:rsidRPr="00A31A0D"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8029FE" w:rsidRDefault="008029FE" w:rsidP="008029F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 w:rsidR="008C6FE6">
              <w:rPr>
                <w:color w:val="FF0000"/>
                <w:sz w:val="20"/>
                <w:szCs w:val="20"/>
              </w:rPr>
              <w:t xml:space="preserve"> </w:t>
            </w:r>
          </w:p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2D81" w:rsidRPr="00A31A0D" w:rsidTr="0040622D">
        <w:trPr>
          <w:trHeight w:hRule="exact" w:val="58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 w:rsidP="000F609D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 w:rsidRPr="00A31A0D">
              <w:rPr>
                <w:color w:val="2E2014"/>
                <w:sz w:val="20"/>
                <w:szCs w:val="20"/>
              </w:rPr>
              <w:t xml:space="preserve">podział  </w:t>
            </w:r>
            <w:r w:rsidRPr="00A31A0D"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 xml:space="preserve">zobowiązań  </w:t>
            </w:r>
            <w:r w:rsidRPr="00A31A0D"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 xml:space="preserve">długoterminowych </w:t>
            </w:r>
            <w:r w:rsidR="000F609D" w:rsidRPr="00A31A0D">
              <w:rPr>
                <w:color w:val="2E20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 xml:space="preserve">o  </w:t>
            </w:r>
            <w:r w:rsidRPr="00A31A0D"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 xml:space="preserve">pozostałym  </w:t>
            </w:r>
            <w:r w:rsidRPr="00A31A0D"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 xml:space="preserve">od  </w:t>
            </w:r>
            <w:r w:rsidRPr="00A31A0D"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 xml:space="preserve">dnia  </w:t>
            </w:r>
            <w:r w:rsidRPr="00A31A0D"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8029FE" w:rsidRDefault="008029FE" w:rsidP="008029F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 w:rsidR="008C6FE6">
              <w:rPr>
                <w:color w:val="FF0000"/>
                <w:sz w:val="20"/>
                <w:szCs w:val="20"/>
              </w:rPr>
              <w:t xml:space="preserve"> </w:t>
            </w:r>
          </w:p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8029FE" w:rsidRDefault="008029FE" w:rsidP="008029F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 w:rsidR="008C6FE6">
              <w:rPr>
                <w:color w:val="FF0000"/>
                <w:sz w:val="20"/>
                <w:szCs w:val="20"/>
              </w:rPr>
              <w:t xml:space="preserve"> </w:t>
            </w:r>
          </w:p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powyżej 5 lat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8029FE" w:rsidRDefault="008029FE" w:rsidP="008029F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>
              <w:rPr>
                <w:sz w:val="20"/>
                <w:szCs w:val="20"/>
              </w:rPr>
              <w:t xml:space="preserve"> </w:t>
            </w:r>
            <w:r w:rsidR="008C6FE6">
              <w:rPr>
                <w:color w:val="FF0000"/>
                <w:sz w:val="20"/>
                <w:szCs w:val="20"/>
              </w:rPr>
              <w:t xml:space="preserve"> </w:t>
            </w:r>
          </w:p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:rsidRPr="00A31A0D" w:rsidTr="0040622D">
        <w:trPr>
          <w:trHeight w:hRule="exact" w:val="82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 w:rsidRPr="00A31A0D">
              <w:rPr>
                <w:color w:val="2E2014"/>
                <w:sz w:val="20"/>
                <w:szCs w:val="20"/>
              </w:rPr>
              <w:t>kwotę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zobowiązań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sytuacji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gdy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jednostka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kwalifikuje umowy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leasingu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zgodnie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przepisami podatkowymi (leasing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operacyjny),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a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według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przepisów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rachunkowości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byłby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to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leasing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finansowy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lub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zwrotny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</w:t>
            </w:r>
            <w:r w:rsidRPr="00A31A0D"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DE4308" w:rsidRDefault="00DE4308" w:rsidP="00DE430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>
              <w:rPr>
                <w:sz w:val="20"/>
                <w:szCs w:val="20"/>
              </w:rPr>
              <w:t xml:space="preserve"> </w:t>
            </w:r>
            <w:r w:rsidR="008C6FE6">
              <w:rPr>
                <w:color w:val="FF0000"/>
                <w:sz w:val="20"/>
                <w:szCs w:val="20"/>
              </w:rPr>
              <w:t xml:space="preserve"> </w:t>
            </w:r>
          </w:p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2D81" w:rsidRPr="00A31A0D" w:rsidTr="0040622D">
        <w:trPr>
          <w:trHeight w:hRule="exact" w:val="58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1.11.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 w:rsidRPr="00A31A0D">
              <w:rPr>
                <w:color w:val="2E2014"/>
                <w:sz w:val="20"/>
                <w:szCs w:val="20"/>
              </w:rPr>
              <w:t>łączną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kwotę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zobowiązań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zabezpieczonych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na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majątku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jednostki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ze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wskazaniem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charakteru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i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formy</w:t>
            </w:r>
            <w:r w:rsidRPr="00A31A0D"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 w:rsidR="00062D81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5515F" w:rsidRDefault="0035515F" w:rsidP="003551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>
              <w:rPr>
                <w:sz w:val="20"/>
                <w:szCs w:val="20"/>
              </w:rPr>
              <w:t xml:space="preserve"> </w:t>
            </w:r>
            <w:r w:rsidR="008C6FE6">
              <w:rPr>
                <w:color w:val="FF0000"/>
                <w:sz w:val="20"/>
                <w:szCs w:val="20"/>
              </w:rPr>
              <w:t xml:space="preserve"> </w:t>
            </w:r>
          </w:p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:rsidRPr="00A31A0D" w:rsidTr="0040622D">
        <w:trPr>
          <w:trHeight w:hRule="exact" w:val="82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 w:rsidRPr="00A31A0D"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 w:rsidRPr="00A31A0D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062D81" w:rsidRPr="00A31A0D" w:rsidTr="00DE6475">
        <w:trPr>
          <w:trHeight w:hRule="exact" w:val="888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82F02" w:rsidRPr="00082F02" w:rsidRDefault="00082F02" w:rsidP="002200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>
              <w:rPr>
                <w:sz w:val="20"/>
                <w:szCs w:val="20"/>
              </w:rPr>
              <w:t xml:space="preserve"> </w:t>
            </w:r>
            <w:r w:rsidR="0022007E">
              <w:rPr>
                <w:color w:val="FF0000"/>
                <w:sz w:val="20"/>
                <w:szCs w:val="20"/>
              </w:rPr>
              <w:t xml:space="preserve"> </w:t>
            </w:r>
          </w:p>
          <w:p w:rsidR="00082F02" w:rsidRDefault="00082F02" w:rsidP="00082F0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:rsidRPr="00A31A0D" w:rsidTr="0040622D">
        <w:trPr>
          <w:trHeight w:hRule="exact" w:val="82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A31A0D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 w:rsidRPr="00A31A0D"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Default="001939C0" w:rsidP="001939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>
              <w:rPr>
                <w:sz w:val="20"/>
                <w:szCs w:val="20"/>
              </w:rPr>
              <w:t xml:space="preserve"> </w:t>
            </w:r>
          </w:p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Default="001939C0" w:rsidP="001939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>
              <w:rPr>
                <w:sz w:val="20"/>
                <w:szCs w:val="20"/>
              </w:rPr>
              <w:t xml:space="preserve"> </w:t>
            </w:r>
          </w:p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1.15.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1939C0" w:rsidRPr="00A31A0D" w:rsidTr="00F6503B">
        <w:trPr>
          <w:trHeight w:hRule="exact" w:val="4745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Default="001939C0" w:rsidP="001939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tbl>
            <w:tblPr>
              <w:tblW w:w="4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0"/>
              <w:gridCol w:w="1840"/>
            </w:tblGrid>
            <w:tr w:rsidR="001939C0" w:rsidTr="00F6503B">
              <w:trPr>
                <w:trHeight w:val="495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C0" w:rsidRDefault="001939C0" w:rsidP="001939C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Rodzaj świadczeń</w:t>
                  </w:r>
                </w:p>
              </w:tc>
              <w:tc>
                <w:tcPr>
                  <w:tcW w:w="18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39C0" w:rsidRDefault="001939C0" w:rsidP="001939C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Kwota</w:t>
                  </w:r>
                </w:p>
              </w:tc>
            </w:tr>
            <w:tr w:rsidR="001939C0" w:rsidTr="00F6503B">
              <w:trPr>
                <w:trHeight w:val="285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1939C0" w:rsidP="001939C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Nagrody jubileuszowe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1939C0" w:rsidP="005932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22007E">
                    <w:rPr>
                      <w:color w:val="000000"/>
                      <w:sz w:val="18"/>
                      <w:szCs w:val="18"/>
                    </w:rPr>
                    <w:t>9 431,57</w:t>
                  </w:r>
                </w:p>
              </w:tc>
            </w:tr>
            <w:tr w:rsidR="001939C0" w:rsidTr="00F6503B">
              <w:trPr>
                <w:trHeight w:val="285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1939C0" w:rsidP="001939C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Odp</w:t>
                  </w:r>
                  <w:r w:rsidR="00B85A7B">
                    <w:rPr>
                      <w:color w:val="000000"/>
                      <w:sz w:val="18"/>
                      <w:szCs w:val="18"/>
                    </w:rPr>
                    <w:t xml:space="preserve">rawy </w:t>
                  </w:r>
                  <w:proofErr w:type="spellStart"/>
                  <w:r w:rsidR="00B85A7B">
                    <w:rPr>
                      <w:color w:val="000000"/>
                      <w:sz w:val="18"/>
                      <w:szCs w:val="18"/>
                    </w:rPr>
                    <w:t>emerytalno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- rentowe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1939C0" w:rsidP="005932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22007E">
                    <w:rPr>
                      <w:color w:val="000000"/>
                      <w:sz w:val="18"/>
                      <w:szCs w:val="18"/>
                    </w:rPr>
                    <w:t>9 957,18</w:t>
                  </w:r>
                </w:p>
              </w:tc>
            </w:tr>
            <w:tr w:rsidR="001939C0" w:rsidTr="00F6503B">
              <w:trPr>
                <w:trHeight w:val="285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1939C0" w:rsidP="001939C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Ekwiwalenty za urlop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1939C0" w:rsidP="005932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22007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939C0" w:rsidTr="00F6503B">
              <w:trPr>
                <w:trHeight w:val="285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1939C0" w:rsidP="001939C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Pomoc zdrowotna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1939C0" w:rsidP="005932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22007E">
                    <w:rPr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</w:tr>
            <w:tr w:rsidR="001939C0" w:rsidTr="00F6503B">
              <w:trPr>
                <w:trHeight w:val="285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5932CC" w:rsidP="001939C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Świadczenia z ZF</w:t>
                  </w:r>
                  <w:r w:rsidR="001939C0">
                    <w:rPr>
                      <w:color w:val="000000"/>
                      <w:sz w:val="18"/>
                      <w:szCs w:val="18"/>
                    </w:rPr>
                    <w:t>ŚS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F24416" w:rsidP="005932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22 511,92</w:t>
                  </w:r>
                </w:p>
              </w:tc>
            </w:tr>
            <w:tr w:rsidR="001939C0" w:rsidTr="00F6503B">
              <w:trPr>
                <w:trHeight w:val="285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1939C0" w:rsidP="001939C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Świadczenia BHP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1939C0" w:rsidP="005932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32CC">
                    <w:rPr>
                      <w:color w:val="000000"/>
                      <w:sz w:val="18"/>
                      <w:szCs w:val="18"/>
                    </w:rPr>
                    <w:t>462,58</w:t>
                  </w:r>
                </w:p>
              </w:tc>
            </w:tr>
            <w:tr w:rsidR="001939C0" w:rsidTr="00F6503B">
              <w:trPr>
                <w:trHeight w:val="285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1939C0" w:rsidP="001939C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Badania lekarskie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1939C0" w:rsidP="005932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32CC">
                    <w:rPr>
                      <w:color w:val="000000"/>
                      <w:sz w:val="18"/>
                      <w:szCs w:val="18"/>
                    </w:rPr>
                    <w:t>105,00</w:t>
                  </w:r>
                </w:p>
              </w:tc>
            </w:tr>
            <w:tr w:rsidR="001939C0" w:rsidTr="00F6503B">
              <w:trPr>
                <w:trHeight w:val="285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1939C0" w:rsidP="001939C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Szkolenia i studia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1939C0" w:rsidP="005932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932CC">
                    <w:rPr>
                      <w:color w:val="000000"/>
                      <w:sz w:val="18"/>
                      <w:szCs w:val="18"/>
                    </w:rPr>
                    <w:t>8 099,01</w:t>
                  </w:r>
                </w:p>
              </w:tc>
            </w:tr>
            <w:tr w:rsidR="001939C0" w:rsidTr="00F6503B">
              <w:trPr>
                <w:trHeight w:val="285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1939C0" w:rsidP="001939C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7B5263" w:rsidP="005932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39C0" w:rsidTr="00F6503B">
              <w:trPr>
                <w:trHeight w:val="285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1939C0" w:rsidP="001939C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7B5263" w:rsidP="005932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39C0" w:rsidTr="00F6503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1939C0" w:rsidP="001939C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7B5263" w:rsidP="005932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39C0" w:rsidTr="00F6503B">
              <w:trPr>
                <w:trHeight w:val="450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939C0" w:rsidRDefault="001939C0" w:rsidP="001939C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Ogółem</w:t>
                  </w:r>
                </w:p>
              </w:tc>
              <w:tc>
                <w:tcPr>
                  <w:tcW w:w="1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C0" w:rsidRDefault="00F24416" w:rsidP="001939C0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51 067,26</w:t>
                  </w:r>
                  <w:bookmarkStart w:id="0" w:name="_GoBack"/>
                  <w:bookmarkEnd w:id="0"/>
                </w:p>
              </w:tc>
            </w:tr>
          </w:tbl>
          <w:p w:rsidR="001939C0" w:rsidRPr="004F5566" w:rsidRDefault="001939C0" w:rsidP="001939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882BE3" w:rsidRDefault="00882BE3" w:rsidP="001939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2.1.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</w:p>
        </w:tc>
      </w:tr>
      <w:tr w:rsidR="001939C0" w:rsidRPr="00A31A0D" w:rsidTr="0040622D">
        <w:trPr>
          <w:trHeight w:hRule="exact" w:val="58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 w:rsidRPr="00A31A0D"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1939C0" w:rsidRPr="00A31A0D" w:rsidTr="003B0834">
        <w:trPr>
          <w:trHeight w:hRule="exact" w:val="3102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Default="001939C0" w:rsidP="00C4789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1A0D">
              <w:rPr>
                <w:sz w:val="20"/>
                <w:szCs w:val="20"/>
              </w:rPr>
              <w:t>Nie dotyczy</w:t>
            </w:r>
            <w:r>
              <w:rPr>
                <w:sz w:val="20"/>
                <w:szCs w:val="20"/>
              </w:rPr>
              <w:t xml:space="preserve"> </w:t>
            </w:r>
            <w:r w:rsidR="00C47894">
              <w:rPr>
                <w:color w:val="FF0000"/>
                <w:sz w:val="20"/>
                <w:szCs w:val="20"/>
              </w:rPr>
              <w:t xml:space="preserve"> </w:t>
            </w:r>
          </w:p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</w:tc>
      </w:tr>
      <w:tr w:rsidR="001939C0" w:rsidRPr="00A31A0D" w:rsidTr="0040622D">
        <w:trPr>
          <w:trHeight w:hRule="exact" w:val="58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 w:rsidRPr="00A31A0D">
              <w:rPr>
                <w:color w:val="2E2014"/>
                <w:sz w:val="20"/>
                <w:szCs w:val="20"/>
              </w:rPr>
              <w:t>kwotę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i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charakter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poszczególnych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pozycji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przychodów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lub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kosztów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nadzwyczajnej</w:t>
            </w:r>
            <w:r w:rsidRPr="00A31A0D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wartości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lub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które</w:t>
            </w:r>
            <w:r w:rsidRPr="00A31A0D"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wystąpiły incydentalnie</w:t>
            </w:r>
          </w:p>
        </w:tc>
      </w:tr>
      <w:tr w:rsidR="001939C0" w:rsidRPr="00A31A0D" w:rsidTr="00681482">
        <w:trPr>
          <w:trHeight w:hRule="exact" w:val="1479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963268" w:rsidRDefault="00963268" w:rsidP="009632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Pozostałe koszty operacyjne  (naprawa i cyklinowanie parkietu po zdarzeniu losowym tj. zalaniu pomieszczenia z powodu awarii, sfinansowane z odszkodowania od ubezpieczyciela) – 1 600,00zł.</w:t>
            </w:r>
          </w:p>
          <w:p w:rsidR="001939C0" w:rsidRDefault="001939C0" w:rsidP="001939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39C0" w:rsidRPr="00A31A0D" w:rsidTr="0040622D">
        <w:trPr>
          <w:trHeight w:hRule="exact" w:val="82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 w:rsidRPr="00A31A0D"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  <w:r w:rsidRPr="00A31A0D">
              <w:rPr>
                <w:sz w:val="20"/>
                <w:szCs w:val="20"/>
              </w:rPr>
              <w:t>Nie dotyczy</w:t>
            </w: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1939C0" w:rsidRPr="00A31A0D" w:rsidTr="0040622D">
        <w:trPr>
          <w:trHeight w:hRule="exact" w:val="34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39C0" w:rsidRPr="00A31A0D" w:rsidTr="0040622D">
        <w:trPr>
          <w:trHeight w:hRule="exact" w:val="583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 w:rsidRPr="00A31A0D"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 w:rsidRPr="00A31A0D">
              <w:rPr>
                <w:color w:val="2E2014"/>
                <w:sz w:val="20"/>
                <w:szCs w:val="20"/>
              </w:rPr>
              <w:t>Inne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informacje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niż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wymienione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powyżej,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jeżeli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mogłyby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istotny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sposób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wpłynąć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na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ocenę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sytuacji</w:t>
            </w:r>
            <w:r w:rsidRPr="00A31A0D"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 w:rsidRPr="00A31A0D"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 w:rsidR="001939C0" w:rsidRPr="00A31A0D" w:rsidTr="003960C2">
        <w:trPr>
          <w:trHeight w:hRule="exact" w:val="1550"/>
        </w:trPr>
        <w:tc>
          <w:tcPr>
            <w:tcW w:w="5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A31A0D" w:rsidRDefault="001939C0" w:rsidP="00193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939C0" w:rsidRPr="003960C2" w:rsidRDefault="001939C0" w:rsidP="00963268">
            <w:pPr>
              <w:spacing w:before="100" w:before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dotyczy </w:t>
            </w:r>
            <w:r w:rsidR="00963268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 w:rsidP="00581523">
      <w:pPr>
        <w:widowControl w:val="0"/>
        <w:autoSpaceDE w:val="0"/>
        <w:autoSpaceDN w:val="0"/>
        <w:adjustRightInd w:val="0"/>
        <w:spacing w:before="15" w:line="200" w:lineRule="exact"/>
        <w:jc w:val="center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3890"/>
        <w:gridCol w:w="2865"/>
      </w:tblGrid>
      <w:tr w:rsidR="00062D81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692A52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     15.04.2019 r.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935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</w:tr>
      <w:tr w:rsidR="00062D81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:rsidR="00062D81" w:rsidRDefault="00062D81"/>
    <w:sectPr w:rsidR="00062D81" w:rsidSect="00563B4F">
      <w:pgSz w:w="11920" w:h="16840"/>
      <w:pgMar w:top="1361" w:right="919" w:bottom="1134" w:left="91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8186A"/>
    <w:multiLevelType w:val="hybridMultilevel"/>
    <w:tmpl w:val="A1E8C66E"/>
    <w:lvl w:ilvl="0" w:tplc="747AE8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">
    <w:nsid w:val="318205ED"/>
    <w:multiLevelType w:val="hybridMultilevel"/>
    <w:tmpl w:val="3E1069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3E"/>
    <w:rsid w:val="000278AE"/>
    <w:rsid w:val="000560F4"/>
    <w:rsid w:val="00060543"/>
    <w:rsid w:val="00062D81"/>
    <w:rsid w:val="000768D5"/>
    <w:rsid w:val="00081F82"/>
    <w:rsid w:val="00082F02"/>
    <w:rsid w:val="000866FB"/>
    <w:rsid w:val="000912CB"/>
    <w:rsid w:val="000D59BF"/>
    <w:rsid w:val="000F609D"/>
    <w:rsid w:val="000F7418"/>
    <w:rsid w:val="001030EE"/>
    <w:rsid w:val="00110F1D"/>
    <w:rsid w:val="0011514E"/>
    <w:rsid w:val="00121F3C"/>
    <w:rsid w:val="001239E9"/>
    <w:rsid w:val="0012615E"/>
    <w:rsid w:val="00136937"/>
    <w:rsid w:val="00171512"/>
    <w:rsid w:val="00190BE9"/>
    <w:rsid w:val="001939C0"/>
    <w:rsid w:val="001A5110"/>
    <w:rsid w:val="001B163D"/>
    <w:rsid w:val="001D08E4"/>
    <w:rsid w:val="001D38F3"/>
    <w:rsid w:val="00206174"/>
    <w:rsid w:val="0022007E"/>
    <w:rsid w:val="00231A29"/>
    <w:rsid w:val="00236EBA"/>
    <w:rsid w:val="00252327"/>
    <w:rsid w:val="0025428D"/>
    <w:rsid w:val="00263413"/>
    <w:rsid w:val="002A5D1A"/>
    <w:rsid w:val="002A77DF"/>
    <w:rsid w:val="002B2D51"/>
    <w:rsid w:val="002E0BE9"/>
    <w:rsid w:val="002E732B"/>
    <w:rsid w:val="003104F4"/>
    <w:rsid w:val="00312F62"/>
    <w:rsid w:val="00316FF8"/>
    <w:rsid w:val="003213AB"/>
    <w:rsid w:val="00324EA6"/>
    <w:rsid w:val="0035515F"/>
    <w:rsid w:val="00394AAC"/>
    <w:rsid w:val="003950A8"/>
    <w:rsid w:val="003960C2"/>
    <w:rsid w:val="003B0834"/>
    <w:rsid w:val="003C1125"/>
    <w:rsid w:val="003C5A6F"/>
    <w:rsid w:val="003C7549"/>
    <w:rsid w:val="00402BE3"/>
    <w:rsid w:val="0040622D"/>
    <w:rsid w:val="00414B5A"/>
    <w:rsid w:val="00420FA2"/>
    <w:rsid w:val="00421BA8"/>
    <w:rsid w:val="0045595E"/>
    <w:rsid w:val="00467E6E"/>
    <w:rsid w:val="004C59A0"/>
    <w:rsid w:val="004D2953"/>
    <w:rsid w:val="004D2EF8"/>
    <w:rsid w:val="004E08AB"/>
    <w:rsid w:val="004F0B69"/>
    <w:rsid w:val="004F5566"/>
    <w:rsid w:val="00512410"/>
    <w:rsid w:val="00563B4F"/>
    <w:rsid w:val="00581523"/>
    <w:rsid w:val="00581CDC"/>
    <w:rsid w:val="005932CC"/>
    <w:rsid w:val="005A04ED"/>
    <w:rsid w:val="005A2A53"/>
    <w:rsid w:val="005B4167"/>
    <w:rsid w:val="005C0928"/>
    <w:rsid w:val="005C3C1A"/>
    <w:rsid w:val="005E2825"/>
    <w:rsid w:val="00626434"/>
    <w:rsid w:val="00643AA2"/>
    <w:rsid w:val="00650D3A"/>
    <w:rsid w:val="006749D4"/>
    <w:rsid w:val="00681482"/>
    <w:rsid w:val="00683578"/>
    <w:rsid w:val="00692A52"/>
    <w:rsid w:val="006A14E0"/>
    <w:rsid w:val="006D52BE"/>
    <w:rsid w:val="006E1354"/>
    <w:rsid w:val="006F61BA"/>
    <w:rsid w:val="00721DDB"/>
    <w:rsid w:val="00724D90"/>
    <w:rsid w:val="00726FBB"/>
    <w:rsid w:val="007416C8"/>
    <w:rsid w:val="007439A5"/>
    <w:rsid w:val="00767DDF"/>
    <w:rsid w:val="0078408B"/>
    <w:rsid w:val="007B5263"/>
    <w:rsid w:val="007B793E"/>
    <w:rsid w:val="007D3473"/>
    <w:rsid w:val="007F7E98"/>
    <w:rsid w:val="008029FE"/>
    <w:rsid w:val="0083397F"/>
    <w:rsid w:val="00837373"/>
    <w:rsid w:val="00870460"/>
    <w:rsid w:val="0087316D"/>
    <w:rsid w:val="008735ED"/>
    <w:rsid w:val="00874984"/>
    <w:rsid w:val="00882BE3"/>
    <w:rsid w:val="00897315"/>
    <w:rsid w:val="008C08F6"/>
    <w:rsid w:val="008C6FE6"/>
    <w:rsid w:val="008F053B"/>
    <w:rsid w:val="0091197C"/>
    <w:rsid w:val="009452CB"/>
    <w:rsid w:val="00963268"/>
    <w:rsid w:val="00995381"/>
    <w:rsid w:val="009A1D1A"/>
    <w:rsid w:val="009C3378"/>
    <w:rsid w:val="009E120E"/>
    <w:rsid w:val="009F2795"/>
    <w:rsid w:val="009F7BC1"/>
    <w:rsid w:val="00A027B8"/>
    <w:rsid w:val="00A048F2"/>
    <w:rsid w:val="00A2748C"/>
    <w:rsid w:val="00A31A0D"/>
    <w:rsid w:val="00A70291"/>
    <w:rsid w:val="00A87052"/>
    <w:rsid w:val="00AA47E8"/>
    <w:rsid w:val="00AC2021"/>
    <w:rsid w:val="00AC2934"/>
    <w:rsid w:val="00AE030B"/>
    <w:rsid w:val="00AF2343"/>
    <w:rsid w:val="00AF7C68"/>
    <w:rsid w:val="00B15544"/>
    <w:rsid w:val="00B36A5F"/>
    <w:rsid w:val="00B3716F"/>
    <w:rsid w:val="00B63F8B"/>
    <w:rsid w:val="00B8114B"/>
    <w:rsid w:val="00B85A7B"/>
    <w:rsid w:val="00BC044F"/>
    <w:rsid w:val="00BC2192"/>
    <w:rsid w:val="00BD2900"/>
    <w:rsid w:val="00BE0DAC"/>
    <w:rsid w:val="00C35489"/>
    <w:rsid w:val="00C3625B"/>
    <w:rsid w:val="00C37FB2"/>
    <w:rsid w:val="00C41DCE"/>
    <w:rsid w:val="00C45899"/>
    <w:rsid w:val="00C47894"/>
    <w:rsid w:val="00C55F91"/>
    <w:rsid w:val="00CB5953"/>
    <w:rsid w:val="00CC5B3B"/>
    <w:rsid w:val="00CD6906"/>
    <w:rsid w:val="00D00522"/>
    <w:rsid w:val="00D30C61"/>
    <w:rsid w:val="00D5341E"/>
    <w:rsid w:val="00D637E3"/>
    <w:rsid w:val="00D6714E"/>
    <w:rsid w:val="00D76DA9"/>
    <w:rsid w:val="00D77416"/>
    <w:rsid w:val="00DB21A3"/>
    <w:rsid w:val="00DC3BA7"/>
    <w:rsid w:val="00DD6C02"/>
    <w:rsid w:val="00DE4308"/>
    <w:rsid w:val="00DE575E"/>
    <w:rsid w:val="00DE6475"/>
    <w:rsid w:val="00DE7EDF"/>
    <w:rsid w:val="00DF3E3E"/>
    <w:rsid w:val="00E258F0"/>
    <w:rsid w:val="00E44FA0"/>
    <w:rsid w:val="00E47FB1"/>
    <w:rsid w:val="00E50353"/>
    <w:rsid w:val="00E578F6"/>
    <w:rsid w:val="00E60BE3"/>
    <w:rsid w:val="00E613B0"/>
    <w:rsid w:val="00E7485A"/>
    <w:rsid w:val="00E8308B"/>
    <w:rsid w:val="00ED6525"/>
    <w:rsid w:val="00EF4BF1"/>
    <w:rsid w:val="00F24416"/>
    <w:rsid w:val="00F42B79"/>
    <w:rsid w:val="00F54D1C"/>
    <w:rsid w:val="00F6503B"/>
    <w:rsid w:val="00F7281D"/>
    <w:rsid w:val="00F75EAC"/>
    <w:rsid w:val="00F76535"/>
    <w:rsid w:val="00F77B74"/>
    <w:rsid w:val="00F86FD2"/>
    <w:rsid w:val="00FB5694"/>
    <w:rsid w:val="00FC7C88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0DC4D1-4438-4117-956D-6A09E53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7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9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3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7B793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4294964504</TotalTime>
  <Pages>6</Pages>
  <Words>1293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Wydawnictwo Podatkowe GOFIN sp. z o.o.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LENOVO</cp:lastModifiedBy>
  <cp:revision>34</cp:revision>
  <cp:lastPrinted>2019-04-15T13:40:00Z</cp:lastPrinted>
  <dcterms:created xsi:type="dcterms:W3CDTF">2019-04-10T20:15:00Z</dcterms:created>
  <dcterms:modified xsi:type="dcterms:W3CDTF">2019-04-17T21:09:00Z</dcterms:modified>
</cp:coreProperties>
</file>